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DB9C1">
      <w:pPr>
        <w:spacing w:line="266" w:lineRule="auto"/>
        <w:rPr>
          <w:rFonts w:ascii="Arial"/>
          <w:sz w:val="21"/>
        </w:rPr>
      </w:pPr>
    </w:p>
    <w:p w14:paraId="5621C22A">
      <w:pPr>
        <w:spacing w:line="266" w:lineRule="auto"/>
        <w:rPr>
          <w:rFonts w:ascii="Arial"/>
          <w:sz w:val="21"/>
        </w:rPr>
      </w:pPr>
    </w:p>
    <w:p w14:paraId="57C66E79">
      <w:pPr>
        <w:spacing w:line="266" w:lineRule="auto"/>
        <w:rPr>
          <w:rFonts w:ascii="Arial"/>
          <w:sz w:val="21"/>
        </w:rPr>
      </w:pPr>
    </w:p>
    <w:p w14:paraId="29139D51">
      <w:pPr>
        <w:spacing w:line="267" w:lineRule="auto"/>
        <w:rPr>
          <w:rFonts w:ascii="Arial"/>
          <w:sz w:val="21"/>
        </w:rPr>
      </w:pPr>
    </w:p>
    <w:p w14:paraId="2A397DDE">
      <w:pPr>
        <w:spacing w:before="100" w:line="230" w:lineRule="auto"/>
        <w:ind w:left="1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5"/>
          <w:sz w:val="31"/>
          <w:szCs w:val="31"/>
        </w:rPr>
        <w:t>附件</w:t>
      </w:r>
      <w:r>
        <w:rPr>
          <w:rFonts w:ascii="黑体" w:hAnsi="黑体" w:eastAsia="黑体" w:cs="黑体"/>
          <w:spacing w:val="-6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5"/>
          <w:sz w:val="31"/>
          <w:szCs w:val="31"/>
        </w:rPr>
        <w:t>2：</w:t>
      </w:r>
    </w:p>
    <w:p w14:paraId="0AE9F1E5">
      <w:pPr>
        <w:spacing w:before="135" w:line="602" w:lineRule="exact"/>
        <w:ind w:left="2313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Calibri" w:hAnsi="Calibri" w:eastAsia="Calibri" w:cs="Calibri"/>
          <w:position w:val="3"/>
          <w:sz w:val="43"/>
          <w:szCs w:val="43"/>
        </w:rPr>
        <w:t>XX</w:t>
      </w:r>
      <w:r>
        <w:rPr>
          <w:rFonts w:ascii="Calibri" w:hAnsi="Calibri" w:eastAsia="Calibri" w:cs="Calibri"/>
          <w:spacing w:val="8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8"/>
          <w:position w:val="3"/>
          <w:sz w:val="43"/>
          <w:szCs w:val="43"/>
        </w:rPr>
        <w:t>竞赛章程（模板）</w:t>
      </w:r>
    </w:p>
    <w:p w14:paraId="73B6BBDD">
      <w:pPr>
        <w:spacing w:before="80" w:line="231" w:lineRule="auto"/>
        <w:ind w:left="272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6"/>
          <w:sz w:val="31"/>
          <w:szCs w:val="31"/>
        </w:rPr>
        <w:t>（</w:t>
      </w:r>
      <w:r>
        <w:rPr>
          <w:rFonts w:ascii="Calibri" w:hAnsi="Calibri" w:eastAsia="Calibri" w:cs="Calibri"/>
          <w:spacing w:val="-6"/>
          <w:sz w:val="31"/>
          <w:szCs w:val="31"/>
        </w:rPr>
        <w:t>20XX</w:t>
      </w:r>
      <w:r>
        <w:rPr>
          <w:rFonts w:ascii="Calibri" w:hAnsi="Calibri" w:eastAsia="Calibri" w:cs="Calibri"/>
          <w:spacing w:val="35"/>
          <w:w w:val="10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6"/>
          <w:sz w:val="31"/>
          <w:szCs w:val="31"/>
        </w:rPr>
        <w:t>年</w:t>
      </w:r>
      <w:r>
        <w:rPr>
          <w:rFonts w:ascii="楷体" w:hAnsi="楷体" w:eastAsia="楷体" w:cs="楷体"/>
          <w:spacing w:val="-66"/>
          <w:sz w:val="31"/>
          <w:szCs w:val="31"/>
        </w:rPr>
        <w:t xml:space="preserve"> </w:t>
      </w:r>
      <w:r>
        <w:rPr>
          <w:rFonts w:ascii="Calibri" w:hAnsi="Calibri" w:eastAsia="Calibri" w:cs="Calibri"/>
          <w:spacing w:val="-6"/>
          <w:sz w:val="31"/>
          <w:szCs w:val="31"/>
        </w:rPr>
        <w:t>XX</w:t>
      </w:r>
      <w:r>
        <w:rPr>
          <w:rFonts w:ascii="Calibri" w:hAnsi="Calibri" w:eastAsia="Calibri" w:cs="Calibri"/>
          <w:spacing w:val="3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6"/>
          <w:sz w:val="31"/>
          <w:szCs w:val="31"/>
        </w:rPr>
        <w:t>月</w:t>
      </w:r>
      <w:r>
        <w:rPr>
          <w:rFonts w:ascii="楷体" w:hAnsi="楷体" w:eastAsia="楷体" w:cs="楷体"/>
          <w:spacing w:val="-68"/>
          <w:sz w:val="31"/>
          <w:szCs w:val="31"/>
        </w:rPr>
        <w:t xml:space="preserve"> </w:t>
      </w:r>
      <w:r>
        <w:rPr>
          <w:rFonts w:ascii="Calibri" w:hAnsi="Calibri" w:eastAsia="Calibri" w:cs="Calibri"/>
          <w:spacing w:val="-6"/>
          <w:sz w:val="31"/>
          <w:szCs w:val="31"/>
        </w:rPr>
        <w:t xml:space="preserve">XX  </w:t>
      </w:r>
      <w:r>
        <w:rPr>
          <w:rFonts w:ascii="楷体" w:hAnsi="楷体" w:eastAsia="楷体" w:cs="楷体"/>
          <w:spacing w:val="-6"/>
          <w:sz w:val="31"/>
          <w:szCs w:val="31"/>
        </w:rPr>
        <w:t>日）</w:t>
      </w:r>
    </w:p>
    <w:p w14:paraId="26DE7C22">
      <w:pPr>
        <w:spacing w:line="313" w:lineRule="auto"/>
        <w:rPr>
          <w:rFonts w:ascii="Arial"/>
          <w:sz w:val="21"/>
        </w:rPr>
      </w:pPr>
    </w:p>
    <w:p w14:paraId="69D773FC">
      <w:pPr>
        <w:spacing w:line="313" w:lineRule="auto"/>
        <w:rPr>
          <w:rFonts w:ascii="Arial"/>
          <w:sz w:val="21"/>
        </w:rPr>
      </w:pPr>
    </w:p>
    <w:p w14:paraId="5B6A3419">
      <w:pPr>
        <w:spacing w:before="101" w:line="227" w:lineRule="auto"/>
        <w:ind w:left="331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第一章</w:t>
      </w:r>
      <w:r>
        <w:rPr>
          <w:rFonts w:ascii="黑体" w:hAnsi="黑体" w:eastAsia="黑体" w:cs="黑体"/>
          <w:spacing w:val="14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1"/>
          <w:sz w:val="31"/>
          <w:szCs w:val="31"/>
        </w:rPr>
        <w:t>总</w:t>
      </w:r>
      <w:r>
        <w:rPr>
          <w:rFonts w:ascii="黑体" w:hAnsi="黑体" w:eastAsia="黑体" w:cs="黑体"/>
          <w:spacing w:val="18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"/>
          <w:sz w:val="31"/>
          <w:szCs w:val="31"/>
        </w:rPr>
        <w:t>则</w:t>
      </w:r>
    </w:p>
    <w:p w14:paraId="1A82201C">
      <w:pPr>
        <w:pStyle w:val="2"/>
        <w:spacing w:before="182" w:line="333" w:lineRule="auto"/>
        <w:ind w:right="106" w:firstLine="709"/>
      </w:pPr>
      <w:r>
        <w:rPr>
          <w:spacing w:val="27"/>
        </w:rPr>
        <w:t>第一条</w:t>
      </w:r>
      <w:r>
        <w:rPr>
          <w:spacing w:val="111"/>
        </w:rPr>
        <w:t xml:space="preserve"> </w:t>
      </w:r>
      <w:r>
        <w:rPr>
          <w:spacing w:val="27"/>
        </w:rPr>
        <w:t>详细介绍竞赛的主办方</w:t>
      </w:r>
      <w:r>
        <w:rPr>
          <w:spacing w:val="-78"/>
        </w:rPr>
        <w:t xml:space="preserve"> </w:t>
      </w:r>
      <w:r>
        <w:rPr>
          <w:spacing w:val="27"/>
        </w:rPr>
        <w:t>、</w:t>
      </w:r>
      <w:r>
        <w:rPr>
          <w:spacing w:val="-90"/>
        </w:rPr>
        <w:t xml:space="preserve"> </w:t>
      </w:r>
      <w:r>
        <w:rPr>
          <w:spacing w:val="27"/>
        </w:rPr>
        <w:t>承办方</w:t>
      </w:r>
      <w:r>
        <w:rPr>
          <w:spacing w:val="-78"/>
        </w:rPr>
        <w:t xml:space="preserve"> </w:t>
      </w:r>
      <w:r>
        <w:rPr>
          <w:spacing w:val="27"/>
        </w:rPr>
        <w:t>、</w:t>
      </w:r>
      <w:r>
        <w:rPr>
          <w:spacing w:val="-85"/>
        </w:rPr>
        <w:t xml:space="preserve"> </w:t>
      </w:r>
      <w:r>
        <w:rPr>
          <w:spacing w:val="27"/>
        </w:rPr>
        <w:t>支持举办</w:t>
      </w:r>
      <w:r>
        <w:rPr>
          <w:spacing w:val="25"/>
        </w:rPr>
        <w:t>方</w:t>
      </w:r>
      <w:r>
        <w:rPr>
          <w:spacing w:val="-86"/>
        </w:rPr>
        <w:t xml:space="preserve"> </w:t>
      </w:r>
      <w:r>
        <w:rPr>
          <w:spacing w:val="25"/>
        </w:rPr>
        <w:t>、技术支持方等，</w:t>
      </w:r>
      <w:r>
        <w:rPr>
          <w:spacing w:val="-53"/>
        </w:rPr>
        <w:t xml:space="preserve"> </w:t>
      </w:r>
      <w:r>
        <w:rPr>
          <w:spacing w:val="25"/>
        </w:rPr>
        <w:t>比赛届次间隔。</w:t>
      </w:r>
    </w:p>
    <w:p w14:paraId="2FD47752">
      <w:pPr>
        <w:pStyle w:val="2"/>
        <w:spacing w:line="222" w:lineRule="auto"/>
        <w:ind w:left="709"/>
      </w:pPr>
      <w:r>
        <w:rPr>
          <w:spacing w:val="9"/>
        </w:rPr>
        <w:t>第二条</w:t>
      </w:r>
      <w:r>
        <w:rPr>
          <w:spacing w:val="90"/>
        </w:rPr>
        <w:t xml:space="preserve"> </w:t>
      </w:r>
      <w:r>
        <w:rPr>
          <w:spacing w:val="9"/>
        </w:rPr>
        <w:t>说明竞赛比赛宗</w:t>
      </w:r>
      <w:r>
        <w:rPr>
          <w:spacing w:val="-46"/>
        </w:rPr>
        <w:t xml:space="preserve"> </w:t>
      </w:r>
      <w:r>
        <w:rPr>
          <w:spacing w:val="9"/>
        </w:rPr>
        <w:t>旨</w:t>
      </w:r>
      <w:r>
        <w:rPr>
          <w:spacing w:val="-85"/>
        </w:rPr>
        <w:t xml:space="preserve"> </w:t>
      </w:r>
      <w:r>
        <w:rPr>
          <w:spacing w:val="9"/>
        </w:rPr>
        <w:t>、</w:t>
      </w:r>
      <w:r>
        <w:rPr>
          <w:spacing w:val="-43"/>
        </w:rPr>
        <w:t xml:space="preserve"> </w:t>
      </w:r>
      <w:r>
        <w:rPr>
          <w:spacing w:val="9"/>
        </w:rPr>
        <w:t>目</w:t>
      </w:r>
      <w:r>
        <w:rPr>
          <w:spacing w:val="-83"/>
        </w:rPr>
        <w:t xml:space="preserve"> </w:t>
      </w:r>
      <w:r>
        <w:rPr>
          <w:spacing w:val="9"/>
        </w:rPr>
        <w:t>的等。</w:t>
      </w:r>
    </w:p>
    <w:p w14:paraId="6F5BE50C">
      <w:pPr>
        <w:pStyle w:val="2"/>
        <w:spacing w:before="189" w:line="222" w:lineRule="auto"/>
        <w:ind w:left="709"/>
      </w:pPr>
      <w:r>
        <w:rPr>
          <w:spacing w:val="29"/>
        </w:rPr>
        <w:t>第三条</w:t>
      </w:r>
      <w:r>
        <w:rPr>
          <w:spacing w:val="78"/>
        </w:rPr>
        <w:t xml:space="preserve"> </w:t>
      </w:r>
      <w:r>
        <w:rPr>
          <w:spacing w:val="29"/>
        </w:rPr>
        <w:t>说明竞赛方式等。</w:t>
      </w:r>
    </w:p>
    <w:p w14:paraId="1BA7DD3A">
      <w:pPr>
        <w:pStyle w:val="2"/>
        <w:spacing w:before="185" w:line="222" w:lineRule="auto"/>
        <w:ind w:left="709"/>
      </w:pPr>
      <w:r>
        <w:rPr>
          <w:spacing w:val="26"/>
        </w:rPr>
        <w:t>第四条</w:t>
      </w:r>
      <w:r>
        <w:rPr>
          <w:spacing w:val="97"/>
        </w:rPr>
        <w:t xml:space="preserve"> </w:t>
      </w:r>
      <w:r>
        <w:rPr>
          <w:spacing w:val="26"/>
        </w:rPr>
        <w:t>未尽事宜补充说明。</w:t>
      </w:r>
      <w:r>
        <w:rPr>
          <w:spacing w:val="-114"/>
        </w:rPr>
        <w:t xml:space="preserve"> </w:t>
      </w:r>
      <w:r>
        <w:rPr>
          <w:spacing w:val="26"/>
        </w:rPr>
        <w:t>（</w:t>
      </w:r>
      <w:r>
        <w:rPr>
          <w:spacing w:val="-65"/>
        </w:rPr>
        <w:t xml:space="preserve"> </w:t>
      </w:r>
      <w:r>
        <w:rPr>
          <w:spacing w:val="26"/>
        </w:rPr>
        <w:t>若无，则不撰写</w:t>
      </w:r>
      <w:r>
        <w:rPr>
          <w:spacing w:val="-82"/>
        </w:rPr>
        <w:t xml:space="preserve"> </w:t>
      </w:r>
      <w:r>
        <w:rPr>
          <w:spacing w:val="26"/>
        </w:rPr>
        <w:t>）</w:t>
      </w:r>
    </w:p>
    <w:p w14:paraId="49187959">
      <w:pPr>
        <w:spacing w:before="342" w:line="226" w:lineRule="auto"/>
        <w:ind w:left="211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第二章  竞赛组织机构及其职责</w:t>
      </w:r>
    </w:p>
    <w:p w14:paraId="733D6038">
      <w:pPr>
        <w:pStyle w:val="2"/>
        <w:spacing w:before="183" w:line="333" w:lineRule="auto"/>
        <w:ind w:left="2" w:right="106" w:firstLine="706"/>
      </w:pPr>
      <w:r>
        <w:rPr>
          <w:spacing w:val="29"/>
        </w:rPr>
        <w:t>第五条</w:t>
      </w:r>
      <w:r>
        <w:rPr>
          <w:spacing w:val="109"/>
        </w:rPr>
        <w:t xml:space="preserve"> </w:t>
      </w:r>
      <w:r>
        <w:rPr>
          <w:spacing w:val="29"/>
        </w:rPr>
        <w:t>详细说明竞赛组织机构（</w:t>
      </w:r>
      <w:r>
        <w:rPr>
          <w:spacing w:val="-52"/>
        </w:rPr>
        <w:t xml:space="preserve"> </w:t>
      </w:r>
      <w:r>
        <w:rPr>
          <w:spacing w:val="29"/>
        </w:rPr>
        <w:t>竞赛领导小组</w:t>
      </w:r>
      <w:r>
        <w:rPr>
          <w:spacing w:val="-80"/>
        </w:rPr>
        <w:t xml:space="preserve"> </w:t>
      </w:r>
      <w:r>
        <w:rPr>
          <w:spacing w:val="29"/>
        </w:rPr>
        <w:t>、</w:t>
      </w:r>
      <w:r>
        <w:rPr>
          <w:spacing w:val="-86"/>
        </w:rPr>
        <w:t xml:space="preserve"> </w:t>
      </w:r>
      <w:r>
        <w:rPr>
          <w:spacing w:val="29"/>
        </w:rPr>
        <w:t>组</w:t>
      </w:r>
      <w:r>
        <w:rPr>
          <w:spacing w:val="15"/>
        </w:rPr>
        <w:t>委会</w:t>
      </w:r>
      <w:r>
        <w:rPr>
          <w:spacing w:val="-80"/>
        </w:rPr>
        <w:t xml:space="preserve"> </w:t>
      </w:r>
      <w:r>
        <w:rPr>
          <w:spacing w:val="15"/>
        </w:rPr>
        <w:t>、评委会等</w:t>
      </w:r>
      <w:r>
        <w:rPr>
          <w:spacing w:val="-81"/>
        </w:rPr>
        <w:t xml:space="preserve"> </w:t>
      </w:r>
      <w:r>
        <w:rPr>
          <w:spacing w:val="15"/>
        </w:rPr>
        <w:t>）。</w:t>
      </w:r>
    </w:p>
    <w:p w14:paraId="13E7435E">
      <w:pPr>
        <w:pStyle w:val="2"/>
        <w:spacing w:before="1" w:line="222" w:lineRule="auto"/>
        <w:ind w:left="709"/>
      </w:pPr>
      <w:r>
        <w:rPr>
          <w:spacing w:val="32"/>
        </w:rPr>
        <w:t>第六条</w:t>
      </w:r>
      <w:r>
        <w:rPr>
          <w:spacing w:val="86"/>
        </w:rPr>
        <w:t xml:space="preserve"> </w:t>
      </w:r>
      <w:r>
        <w:rPr>
          <w:spacing w:val="32"/>
        </w:rPr>
        <w:t>说明竞赛组委会组成原则</w:t>
      </w:r>
    </w:p>
    <w:p w14:paraId="10651416">
      <w:pPr>
        <w:pStyle w:val="2"/>
        <w:spacing w:before="188" w:line="221" w:lineRule="auto"/>
        <w:ind w:left="709"/>
      </w:pPr>
      <w:r>
        <w:rPr>
          <w:spacing w:val="31"/>
        </w:rPr>
        <w:t>第七条</w:t>
      </w:r>
      <w:r>
        <w:rPr>
          <w:spacing w:val="100"/>
        </w:rPr>
        <w:t xml:space="preserve"> </w:t>
      </w:r>
      <w:r>
        <w:rPr>
          <w:spacing w:val="31"/>
        </w:rPr>
        <w:t>详细说明竞赛组委会职责</w:t>
      </w:r>
    </w:p>
    <w:p w14:paraId="1C1893F0">
      <w:pPr>
        <w:pStyle w:val="2"/>
        <w:spacing w:before="188" w:line="221" w:lineRule="auto"/>
        <w:ind w:left="709"/>
      </w:pPr>
      <w:r>
        <w:rPr>
          <w:spacing w:val="32"/>
        </w:rPr>
        <w:t>第八条</w:t>
      </w:r>
      <w:r>
        <w:rPr>
          <w:spacing w:val="93"/>
        </w:rPr>
        <w:t xml:space="preserve"> </w:t>
      </w:r>
      <w:r>
        <w:rPr>
          <w:spacing w:val="32"/>
        </w:rPr>
        <w:t>说明秘书处的设立和挂靠单位。</w:t>
      </w:r>
    </w:p>
    <w:p w14:paraId="03BBD67C">
      <w:pPr>
        <w:pStyle w:val="2"/>
        <w:spacing w:before="189" w:line="222" w:lineRule="auto"/>
        <w:ind w:left="709"/>
      </w:pPr>
      <w:r>
        <w:rPr>
          <w:spacing w:val="31"/>
        </w:rPr>
        <w:t>第九条</w:t>
      </w:r>
      <w:r>
        <w:rPr>
          <w:spacing w:val="83"/>
        </w:rPr>
        <w:t xml:space="preserve"> </w:t>
      </w:r>
      <w:r>
        <w:rPr>
          <w:spacing w:val="31"/>
        </w:rPr>
        <w:t>说明评委会组成原则</w:t>
      </w:r>
    </w:p>
    <w:p w14:paraId="738930FA">
      <w:pPr>
        <w:pStyle w:val="2"/>
        <w:spacing w:before="188" w:line="221" w:lineRule="auto"/>
        <w:ind w:left="709"/>
      </w:pPr>
      <w:r>
        <w:rPr>
          <w:spacing w:val="31"/>
        </w:rPr>
        <w:t>第十条</w:t>
      </w:r>
      <w:r>
        <w:rPr>
          <w:spacing w:val="91"/>
        </w:rPr>
        <w:t xml:space="preserve"> </w:t>
      </w:r>
      <w:r>
        <w:rPr>
          <w:spacing w:val="31"/>
        </w:rPr>
        <w:t>详细说明组织委员会职责。</w:t>
      </w:r>
    </w:p>
    <w:p w14:paraId="33AF36CC">
      <w:pPr>
        <w:pStyle w:val="2"/>
        <w:spacing w:before="188" w:line="222" w:lineRule="auto"/>
        <w:ind w:left="709"/>
      </w:pPr>
      <w:r>
        <w:rPr>
          <w:spacing w:val="27"/>
        </w:rPr>
        <w:t>第十一条</w:t>
      </w:r>
      <w:r>
        <w:rPr>
          <w:spacing w:val="89"/>
        </w:rPr>
        <w:t xml:space="preserve"> </w:t>
      </w:r>
      <w:r>
        <w:rPr>
          <w:spacing w:val="27"/>
        </w:rPr>
        <w:t>未尽事宜补充说明。</w:t>
      </w:r>
      <w:r>
        <w:rPr>
          <w:spacing w:val="-114"/>
        </w:rPr>
        <w:t xml:space="preserve"> </w:t>
      </w:r>
      <w:r>
        <w:rPr>
          <w:spacing w:val="27"/>
        </w:rPr>
        <w:t>（</w:t>
      </w:r>
      <w:r>
        <w:rPr>
          <w:spacing w:val="-65"/>
        </w:rPr>
        <w:t xml:space="preserve"> </w:t>
      </w:r>
      <w:r>
        <w:rPr>
          <w:spacing w:val="27"/>
        </w:rPr>
        <w:t>若无，则不撰写</w:t>
      </w:r>
      <w:r>
        <w:rPr>
          <w:spacing w:val="-81"/>
        </w:rPr>
        <w:t xml:space="preserve"> </w:t>
      </w:r>
      <w:r>
        <w:rPr>
          <w:spacing w:val="27"/>
        </w:rPr>
        <w:t>）</w:t>
      </w:r>
    </w:p>
    <w:p w14:paraId="1F8B70B2">
      <w:pPr>
        <w:spacing w:before="342" w:line="227" w:lineRule="auto"/>
        <w:ind w:left="2279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第三章  参赛资格和作品申报</w:t>
      </w:r>
    </w:p>
    <w:p w14:paraId="09FE2EBC">
      <w:pPr>
        <w:pStyle w:val="2"/>
        <w:spacing w:before="181" w:line="221" w:lineRule="auto"/>
        <w:ind w:left="709"/>
      </w:pPr>
      <w:r>
        <w:rPr>
          <w:spacing w:val="31"/>
        </w:rPr>
        <w:t>第十二条</w:t>
      </w:r>
      <w:r>
        <w:rPr>
          <w:spacing w:val="100"/>
        </w:rPr>
        <w:t xml:space="preserve"> </w:t>
      </w:r>
      <w:r>
        <w:rPr>
          <w:spacing w:val="31"/>
        </w:rPr>
        <w:t>详细说明参赛资格要求</w:t>
      </w:r>
    </w:p>
    <w:p w14:paraId="03808911">
      <w:pPr>
        <w:pStyle w:val="2"/>
        <w:spacing w:before="189" w:line="220" w:lineRule="auto"/>
        <w:ind w:left="709"/>
      </w:pPr>
      <w:r>
        <w:rPr>
          <w:spacing w:val="26"/>
        </w:rPr>
        <w:t>第十三条</w:t>
      </w:r>
      <w:r>
        <w:rPr>
          <w:spacing w:val="104"/>
        </w:rPr>
        <w:t xml:space="preserve"> </w:t>
      </w:r>
      <w:r>
        <w:rPr>
          <w:spacing w:val="26"/>
        </w:rPr>
        <w:t>详细说明参赛作品</w:t>
      </w:r>
      <w:r>
        <w:rPr>
          <w:spacing w:val="-64"/>
        </w:rPr>
        <w:t xml:space="preserve"> </w:t>
      </w:r>
      <w:r>
        <w:rPr>
          <w:spacing w:val="26"/>
        </w:rPr>
        <w:t>申报要求。</w:t>
      </w:r>
    </w:p>
    <w:p w14:paraId="14956B0A">
      <w:pPr>
        <w:pStyle w:val="2"/>
        <w:spacing w:before="189" w:line="222" w:lineRule="auto"/>
        <w:jc w:val="right"/>
      </w:pPr>
      <w:r>
        <w:rPr>
          <w:spacing w:val="22"/>
        </w:rPr>
        <w:t>第十四条</w:t>
      </w:r>
      <w:r>
        <w:rPr>
          <w:spacing w:val="91"/>
        </w:rPr>
        <w:t xml:space="preserve"> </w:t>
      </w:r>
      <w:r>
        <w:rPr>
          <w:spacing w:val="22"/>
        </w:rPr>
        <w:t>未尽事宜补充说明。</w:t>
      </w:r>
      <w:r>
        <w:rPr>
          <w:spacing w:val="-128"/>
        </w:rPr>
        <w:t xml:space="preserve"> </w:t>
      </w:r>
      <w:r>
        <w:rPr>
          <w:spacing w:val="22"/>
        </w:rPr>
        <w:t>（</w:t>
      </w:r>
      <w:r>
        <w:rPr>
          <w:spacing w:val="-65"/>
        </w:rPr>
        <w:t xml:space="preserve"> </w:t>
      </w:r>
      <w:r>
        <w:rPr>
          <w:spacing w:val="22"/>
        </w:rPr>
        <w:t>若无，则不撰写</w:t>
      </w:r>
      <w:r>
        <w:rPr>
          <w:spacing w:val="-79"/>
        </w:rPr>
        <w:t xml:space="preserve"> </w:t>
      </w:r>
      <w:r>
        <w:rPr>
          <w:spacing w:val="22"/>
        </w:rPr>
        <w:t>）。</w:t>
      </w:r>
    </w:p>
    <w:p w14:paraId="2E450CAC">
      <w:pPr>
        <w:spacing w:line="222" w:lineRule="auto"/>
        <w:sectPr>
          <w:headerReference r:id="rId5" w:type="default"/>
          <w:footerReference r:id="rId6" w:type="default"/>
          <w:pgSz w:w="11906" w:h="16839"/>
          <w:pgMar w:top="400" w:right="1513" w:bottom="1116" w:left="1606" w:header="0" w:footer="751" w:gutter="0"/>
          <w:cols w:space="720" w:num="1"/>
        </w:sectPr>
      </w:pPr>
    </w:p>
    <w:p w14:paraId="19ED09A0">
      <w:pPr>
        <w:spacing w:line="271" w:lineRule="auto"/>
        <w:rPr>
          <w:rFonts w:ascii="Arial"/>
          <w:sz w:val="21"/>
        </w:rPr>
      </w:pPr>
    </w:p>
    <w:p w14:paraId="24AD7B44">
      <w:pPr>
        <w:spacing w:line="271" w:lineRule="auto"/>
        <w:rPr>
          <w:rFonts w:ascii="Arial"/>
          <w:sz w:val="21"/>
        </w:rPr>
      </w:pPr>
    </w:p>
    <w:p w14:paraId="297EC3A6">
      <w:pPr>
        <w:spacing w:line="271" w:lineRule="auto"/>
        <w:rPr>
          <w:rFonts w:ascii="Arial"/>
          <w:sz w:val="21"/>
        </w:rPr>
      </w:pPr>
    </w:p>
    <w:p w14:paraId="3D55A761">
      <w:pPr>
        <w:spacing w:line="271" w:lineRule="auto"/>
        <w:rPr>
          <w:rFonts w:ascii="Arial"/>
          <w:sz w:val="21"/>
        </w:rPr>
      </w:pPr>
    </w:p>
    <w:p w14:paraId="497A9433">
      <w:pPr>
        <w:spacing w:before="101" w:line="227" w:lineRule="auto"/>
        <w:ind w:left="260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第四章  竞赛评审和奖励</w:t>
      </w:r>
    </w:p>
    <w:p w14:paraId="416431DD">
      <w:pPr>
        <w:pStyle w:val="2"/>
        <w:spacing w:before="182" w:line="222" w:lineRule="auto"/>
        <w:ind w:left="712"/>
      </w:pPr>
      <w:r>
        <w:rPr>
          <w:spacing w:val="31"/>
        </w:rPr>
        <w:t>第十五条</w:t>
      </w:r>
      <w:r>
        <w:rPr>
          <w:spacing w:val="91"/>
        </w:rPr>
        <w:t xml:space="preserve"> </w:t>
      </w:r>
      <w:r>
        <w:rPr>
          <w:spacing w:val="31"/>
        </w:rPr>
        <w:t>说明竞赛评审基本原则。</w:t>
      </w:r>
    </w:p>
    <w:p w14:paraId="062F4A92">
      <w:pPr>
        <w:pStyle w:val="2"/>
        <w:spacing w:before="185" w:line="221" w:lineRule="auto"/>
        <w:ind w:left="712"/>
      </w:pPr>
      <w:r>
        <w:rPr>
          <w:spacing w:val="31"/>
        </w:rPr>
        <w:t>第十六条</w:t>
      </w:r>
      <w:r>
        <w:rPr>
          <w:spacing w:val="91"/>
        </w:rPr>
        <w:t xml:space="preserve"> </w:t>
      </w:r>
      <w:r>
        <w:rPr>
          <w:spacing w:val="31"/>
        </w:rPr>
        <w:t>详细说明竞赛奖项设置。</w:t>
      </w:r>
    </w:p>
    <w:p w14:paraId="0FC80785">
      <w:pPr>
        <w:pStyle w:val="2"/>
        <w:spacing w:before="187" w:line="222" w:lineRule="auto"/>
        <w:jc w:val="right"/>
      </w:pPr>
      <w:r>
        <w:rPr>
          <w:spacing w:val="22"/>
        </w:rPr>
        <w:t>第十七条</w:t>
      </w:r>
      <w:r>
        <w:rPr>
          <w:spacing w:val="91"/>
        </w:rPr>
        <w:t xml:space="preserve"> </w:t>
      </w:r>
      <w:r>
        <w:rPr>
          <w:spacing w:val="22"/>
        </w:rPr>
        <w:t>未尽事宜补充说明。</w:t>
      </w:r>
      <w:r>
        <w:rPr>
          <w:spacing w:val="-128"/>
        </w:rPr>
        <w:t xml:space="preserve"> </w:t>
      </w:r>
      <w:r>
        <w:rPr>
          <w:spacing w:val="22"/>
        </w:rPr>
        <w:t>（</w:t>
      </w:r>
      <w:r>
        <w:rPr>
          <w:spacing w:val="-65"/>
        </w:rPr>
        <w:t xml:space="preserve"> </w:t>
      </w:r>
      <w:r>
        <w:rPr>
          <w:spacing w:val="22"/>
        </w:rPr>
        <w:t>若无，则不撰写</w:t>
      </w:r>
      <w:r>
        <w:rPr>
          <w:spacing w:val="-79"/>
        </w:rPr>
        <w:t xml:space="preserve"> </w:t>
      </w:r>
      <w:r>
        <w:rPr>
          <w:spacing w:val="22"/>
        </w:rPr>
        <w:t>）。</w:t>
      </w:r>
    </w:p>
    <w:p w14:paraId="06E5A65C">
      <w:pPr>
        <w:spacing w:before="187" w:line="226" w:lineRule="auto"/>
        <w:ind w:left="308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第五章  竞赛申诉</w:t>
      </w:r>
    </w:p>
    <w:p w14:paraId="5D294B56">
      <w:pPr>
        <w:pStyle w:val="2"/>
        <w:spacing w:before="181" w:line="221" w:lineRule="auto"/>
        <w:ind w:left="712"/>
      </w:pPr>
      <w:r>
        <w:rPr>
          <w:spacing w:val="32"/>
        </w:rPr>
        <w:t>第十八条</w:t>
      </w:r>
      <w:r>
        <w:rPr>
          <w:spacing w:val="101"/>
        </w:rPr>
        <w:t xml:space="preserve"> </w:t>
      </w:r>
      <w:r>
        <w:rPr>
          <w:spacing w:val="32"/>
        </w:rPr>
        <w:t>详细说明有权提出申诉的情况。</w:t>
      </w:r>
    </w:p>
    <w:p w14:paraId="58D339CA">
      <w:pPr>
        <w:pStyle w:val="2"/>
        <w:spacing w:before="189" w:line="221" w:lineRule="auto"/>
        <w:ind w:left="712"/>
      </w:pPr>
      <w:r>
        <w:rPr>
          <w:spacing w:val="31"/>
        </w:rPr>
        <w:t>第十九条</w:t>
      </w:r>
      <w:r>
        <w:rPr>
          <w:spacing w:val="101"/>
        </w:rPr>
        <w:t xml:space="preserve"> </w:t>
      </w:r>
      <w:r>
        <w:rPr>
          <w:spacing w:val="31"/>
        </w:rPr>
        <w:t>详细说明申诉的具体流程。</w:t>
      </w:r>
    </w:p>
    <w:p w14:paraId="5F2DB613">
      <w:pPr>
        <w:pStyle w:val="2"/>
        <w:spacing w:before="190" w:line="221" w:lineRule="auto"/>
        <w:ind w:left="712"/>
      </w:pPr>
      <w:r>
        <w:rPr>
          <w:spacing w:val="33"/>
        </w:rPr>
        <w:t>第二十条</w:t>
      </w:r>
      <w:r>
        <w:rPr>
          <w:spacing w:val="96"/>
        </w:rPr>
        <w:t xml:space="preserve"> </w:t>
      </w:r>
      <w:r>
        <w:rPr>
          <w:spacing w:val="33"/>
        </w:rPr>
        <w:t>详细说明申诉处理的具体时间节点。</w:t>
      </w:r>
    </w:p>
    <w:p w14:paraId="38575965">
      <w:pPr>
        <w:pStyle w:val="2"/>
        <w:spacing w:before="188" w:line="222" w:lineRule="auto"/>
        <w:jc w:val="right"/>
      </w:pPr>
      <w:r>
        <w:rPr>
          <w:spacing w:val="10"/>
        </w:rPr>
        <w:t>第二十一条</w:t>
      </w:r>
      <w:r>
        <w:rPr>
          <w:spacing w:val="81"/>
        </w:rPr>
        <w:t xml:space="preserve"> </w:t>
      </w:r>
      <w:r>
        <w:rPr>
          <w:spacing w:val="10"/>
        </w:rPr>
        <w:t>未尽事宜补充说明。（</w:t>
      </w:r>
      <w:r>
        <w:rPr>
          <w:spacing w:val="-65"/>
        </w:rPr>
        <w:t xml:space="preserve"> </w:t>
      </w:r>
      <w:r>
        <w:rPr>
          <w:spacing w:val="10"/>
        </w:rPr>
        <w:t>若无，则</w:t>
      </w:r>
      <w:r>
        <w:rPr>
          <w:spacing w:val="9"/>
        </w:rPr>
        <w:t>不撰写</w:t>
      </w:r>
      <w:r>
        <w:rPr>
          <w:spacing w:val="-81"/>
        </w:rPr>
        <w:t xml:space="preserve"> </w:t>
      </w:r>
      <w:r>
        <w:rPr>
          <w:spacing w:val="9"/>
        </w:rPr>
        <w:t>）。</w:t>
      </w:r>
    </w:p>
    <w:p w14:paraId="41019DBB">
      <w:pPr>
        <w:spacing w:before="185" w:line="227" w:lineRule="auto"/>
        <w:ind w:left="308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第六章  经费管理</w:t>
      </w:r>
    </w:p>
    <w:p w14:paraId="1DB25809">
      <w:pPr>
        <w:pStyle w:val="2"/>
        <w:spacing w:before="182" w:line="221" w:lineRule="auto"/>
        <w:ind w:left="712"/>
      </w:pPr>
      <w:r>
        <w:rPr>
          <w:spacing w:val="31"/>
        </w:rPr>
        <w:t>第二十二条</w:t>
      </w:r>
      <w:r>
        <w:rPr>
          <w:spacing w:val="101"/>
        </w:rPr>
        <w:t xml:space="preserve"> </w:t>
      </w:r>
      <w:r>
        <w:rPr>
          <w:spacing w:val="31"/>
        </w:rPr>
        <w:t>详细说明经费来源情况。</w:t>
      </w:r>
    </w:p>
    <w:p w14:paraId="07FEB07F">
      <w:pPr>
        <w:pStyle w:val="2"/>
        <w:spacing w:before="188" w:line="221" w:lineRule="auto"/>
        <w:ind w:left="712"/>
      </w:pPr>
      <w:r>
        <w:rPr>
          <w:spacing w:val="31"/>
        </w:rPr>
        <w:t>第二十三条</w:t>
      </w:r>
      <w:r>
        <w:rPr>
          <w:spacing w:val="101"/>
        </w:rPr>
        <w:t xml:space="preserve"> </w:t>
      </w:r>
      <w:r>
        <w:rPr>
          <w:spacing w:val="31"/>
        </w:rPr>
        <w:t>详细说明经费使用范围。</w:t>
      </w:r>
    </w:p>
    <w:p w14:paraId="2B061D0D">
      <w:pPr>
        <w:spacing w:before="187" w:line="227" w:lineRule="auto"/>
        <w:ind w:left="3321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第七章</w:t>
      </w:r>
      <w:r>
        <w:rPr>
          <w:rFonts w:ascii="黑体" w:hAnsi="黑体" w:eastAsia="黑体" w:cs="黑体"/>
          <w:spacing w:val="19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1"/>
          <w:sz w:val="31"/>
          <w:szCs w:val="31"/>
        </w:rPr>
        <w:t>附</w:t>
      </w:r>
      <w:r>
        <w:rPr>
          <w:rFonts w:ascii="黑体" w:hAnsi="黑体" w:eastAsia="黑体" w:cs="黑体"/>
          <w:spacing w:val="18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</w:rPr>
        <w:t>则</w:t>
      </w:r>
    </w:p>
    <w:p w14:paraId="03299B24">
      <w:pPr>
        <w:pStyle w:val="2"/>
        <w:spacing w:before="182" w:line="333" w:lineRule="auto"/>
        <w:ind w:right="106" w:firstLine="712"/>
      </w:pPr>
      <w:r>
        <w:rPr>
          <w:spacing w:val="22"/>
        </w:rPr>
        <w:t>第</w:t>
      </w:r>
      <w:r>
        <w:rPr>
          <w:spacing w:val="-80"/>
        </w:rPr>
        <w:t xml:space="preserve"> </w:t>
      </w:r>
      <w:r>
        <w:rPr>
          <w:spacing w:val="22"/>
        </w:rPr>
        <w:t>二</w:t>
      </w:r>
      <w:r>
        <w:rPr>
          <w:spacing w:val="-90"/>
        </w:rPr>
        <w:t xml:space="preserve"> </w:t>
      </w:r>
      <w:r>
        <w:rPr>
          <w:spacing w:val="22"/>
        </w:rPr>
        <w:t>十四条</w:t>
      </w:r>
      <w:r>
        <w:rPr>
          <w:spacing w:val="90"/>
        </w:rPr>
        <w:t xml:space="preserve"> </w:t>
      </w:r>
      <w:r>
        <w:rPr>
          <w:spacing w:val="22"/>
        </w:rPr>
        <w:t>本章程</w:t>
      </w:r>
      <w:r>
        <w:rPr>
          <w:spacing w:val="-49"/>
        </w:rPr>
        <w:t xml:space="preserve"> </w:t>
      </w:r>
      <w:r>
        <w:rPr>
          <w:spacing w:val="22"/>
        </w:rPr>
        <w:t>自</w:t>
      </w:r>
      <w:r>
        <w:rPr>
          <w:spacing w:val="-92"/>
        </w:rPr>
        <w:t xml:space="preserve"> </w:t>
      </w:r>
      <w:r>
        <w:rPr>
          <w:spacing w:val="22"/>
        </w:rPr>
        <w:t>竞赛组织委员会审议通过之</w:t>
      </w:r>
      <w:r>
        <w:rPr>
          <w:spacing w:val="-44"/>
        </w:rPr>
        <w:t xml:space="preserve"> </w:t>
      </w:r>
      <w:r>
        <w:rPr>
          <w:spacing w:val="22"/>
        </w:rPr>
        <w:t>日</w:t>
      </w:r>
      <w:r>
        <w:rPr>
          <w:spacing w:val="33"/>
        </w:rPr>
        <w:t>起生效，</w:t>
      </w:r>
      <w:r>
        <w:rPr>
          <w:spacing w:val="-50"/>
        </w:rPr>
        <w:t xml:space="preserve"> </w:t>
      </w:r>
      <w:r>
        <w:rPr>
          <w:spacing w:val="33"/>
        </w:rPr>
        <w:t>由竞赛主办单位及组委会秘书处负责解释</w:t>
      </w:r>
    </w:p>
    <w:p w14:paraId="11A9B238">
      <w:pPr>
        <w:pStyle w:val="2"/>
        <w:spacing w:before="1" w:line="221" w:lineRule="auto"/>
        <w:jc w:val="right"/>
      </w:pPr>
      <w:r>
        <w:rPr>
          <w:spacing w:val="10"/>
        </w:rPr>
        <w:t>第二十五条</w:t>
      </w:r>
      <w:r>
        <w:rPr>
          <w:spacing w:val="81"/>
        </w:rPr>
        <w:t xml:space="preserve"> </w:t>
      </w:r>
      <w:r>
        <w:rPr>
          <w:spacing w:val="10"/>
        </w:rPr>
        <w:t>未尽事宜补充说明。（</w:t>
      </w:r>
      <w:r>
        <w:rPr>
          <w:spacing w:val="-65"/>
        </w:rPr>
        <w:t xml:space="preserve"> </w:t>
      </w:r>
      <w:r>
        <w:rPr>
          <w:spacing w:val="10"/>
        </w:rPr>
        <w:t>若无，则</w:t>
      </w:r>
      <w:r>
        <w:rPr>
          <w:spacing w:val="9"/>
        </w:rPr>
        <w:t>不撰写</w:t>
      </w:r>
      <w:r>
        <w:rPr>
          <w:spacing w:val="-81"/>
        </w:rPr>
        <w:t xml:space="preserve"> </w:t>
      </w:r>
      <w:r>
        <w:rPr>
          <w:spacing w:val="9"/>
        </w:rPr>
        <w:t>）。</w:t>
      </w:r>
      <w:bookmarkStart w:id="0" w:name="_GoBack"/>
      <w:bookmarkEnd w:id="0"/>
    </w:p>
    <w:sectPr>
      <w:footerReference r:id="rId7" w:type="default"/>
      <w:pgSz w:w="11906" w:h="16839"/>
      <w:pgMar w:top="400" w:right="1785" w:bottom="1116" w:left="1460" w:header="0" w:footer="75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F0751">
    <w:pPr>
      <w:spacing w:line="233" w:lineRule="auto"/>
      <w:ind w:left="376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0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10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A48CD">
    <w:pPr>
      <w:spacing w:line="233" w:lineRule="auto"/>
      <w:ind w:left="384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  13</w:t>
    </w:r>
    <w:r>
      <w:rPr>
        <w:rFonts w:ascii="宋体" w:hAnsi="宋体" w:eastAsia="宋体" w:cs="宋体"/>
        <w:spacing w:val="108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EB17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8E3992"/>
    <w:rsid w:val="1D6B06CF"/>
    <w:rsid w:val="3A527B62"/>
    <w:rsid w:val="3F8844F1"/>
    <w:rsid w:val="686D41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3251</Words>
  <Characters>3467</Characters>
  <TotalTime>812</TotalTime>
  <ScaleCrop>false</ScaleCrop>
  <LinksUpToDate>false</LinksUpToDate>
  <CharactersWithSpaces>3764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2026-04-10T15:52:00Z</dcterms:created>
  <dc:creator>LeonL</dc:creator>
  <cp:lastModifiedBy>李金泉</cp:lastModifiedBy>
  <dcterms:modified xsi:type="dcterms:W3CDTF">2026-04-21T00:11:09Z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2026-04-20T18:02:06Z</vt:filetime>
  </property>
  <property fmtid="{D5CDD505-2E9C-101B-9397-08002B2CF9AE}" pid="4" name="KSOTemplateDocerSaveRecord">
    <vt:lpwstr>eyJoZGlkIjoiOTc3M2Y5NzIzMDFlZjAyY2Q4Njk5ODkyYjFjNzBiNTQiLCJ1c2VySWQiOiIxNDk5OTE2MDA5In0=</vt:lpwstr>
  </property>
  <property fmtid="{D5CDD505-2E9C-101B-9397-08002B2CF9AE}" pid="5" name="KSOProductBuildVer">
    <vt:lpwstr>2052-12.1.0.25865</vt:lpwstr>
  </property>
  <property fmtid="{D5CDD505-2E9C-101B-9397-08002B2CF9AE}" pid="6" name="ICV">
    <vt:lpwstr>6FA6AE551FD6485CBE7ED1CBA871391E_13</vt:lpwstr>
  </property>
</Properties>
</file>